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Paper Lantern project brief</w:t>
      </w:r>
    </w:p>
    <w:p>
      <w:r>
        <w:t xml:space="preserve">Synthetic workshop plan • Version 1 • September 7, 2026</w:t>
      </w:r>
    </w:p>
    <w:p>
      <w:pPr>
        <w:pStyle w:val="Heading2"/>
      </w:pPr>
      <w:r>
        <w:t xml:space="preserve">Purpose and audience</w:t>
      </w:r>
    </w:p>
    <w:p>
      <w:r>
        <w:t xml:space="preserve">Paper Lantern is a fictional community workshop for 24 participants on September 19, 2026, from 14:00 to 16:00. The aim is to practice making a small paper lantern using shared tools and reusable supplies. The venue remains pending. Bring your curiosity, not expensive equipment.</w:t>
      </w:r>
    </w:p>
    <w:p>
      <w:r>
        <w:t xml:space="preserve">The organizer will publish a booking update on September 10. The session is free, and four volunteers will support the group. This brief is a formatting fixture, not an invitation or an operational event announcement.</w:t>
      </w:r>
    </w:p>
    <w:p>
      <w:pPr>
        <w:pStyle w:val="Heading2"/>
      </w:pPr>
      <w:r>
        <w:t xml:space="preserve">Budget and materials</w:t>
      </w:r>
    </w:p>
    <w:p>
      <w:r>
        <w:t xml:space="preserve">The budget ceiling is USD 180.</w:t>
      </w:r>
      <w:r>
        <w:rPr>
          <w:rStyle w:val="FootnoteReference"/>
        </w:rPr>
        <w:footnoteReference w:id="1"/>
      </w:r>
    </w:p>
    <w:tbl>
      <w:tblPr>
        <w:tblW w:type="dxa" w:w="9360"/>
        <w:tblBorders>
          <w:top w:val="single" w:color="B8C5D1" w:sz="4"/>
          <w:left w:val="single" w:color="B8C5D1" w:sz="4"/>
          <w:bottom w:val="single" w:color="B8C5D1" w:sz="4"/>
          <w:right w:val="single" w:color="B8C5D1" w:sz="4"/>
          <w:insideH w:val="single" w:color="B8C5D1" w:sz="4"/>
          <w:insideV w:val="single" w:color="B8C5D1" w:sz="4"/>
        </w:tblBorders>
        <w:tblLayout w:type="fixed"/>
        <w:tblCellMar>
          <w:top w:w="90" w:type="dxa"/>
          <w:left w:w="120" w:type="dxa"/>
          <w:bottom w:w="90" w:type="dxa"/>
          <w:right w:w="120" w:type="dxa"/>
        </w:tblCellMar>
      </w:tblPr>
      <w:tblGrid>
        <w:gridCol w:w="6240"/>
        <w:gridCol w:w="3120"/>
      </w:tblGrid>
      <w:tr>
        <w:trPr>
          <w:cantSplit/>
          <w:tblHeader/>
        </w:trPr>
        <w:tc>
          <w:tcPr>
            <w:tcW w:type="dxa" w:w="6240"/>
            <w:shd w:val="clear" w:fill="EAF0F5"/>
          </w:tcPr>
          <w:p>
            <w:pPr>
              <w:spacing w:after="0"/>
            </w:pPr>
            <w:r>
              <w:rPr>
                <w:b/>
              </w:rPr>
              <w:t xml:space="preserve">Item</w:t>
            </w:r>
          </w:p>
        </w:tc>
        <w:tc>
          <w:tcPr>
            <w:tcW w:type="dxa" w:w="3120"/>
            <w:shd w:val="clear" w:fill="EAF0F5"/>
          </w:tcPr>
          <w:p>
            <w:pPr>
              <w:spacing w:after="0"/>
            </w:pPr>
            <w:r>
              <w:rPr>
                <w:b/>
              </w:rPr>
              <w:t xml:space="preserve">Amount (USD)</w:t>
            </w:r>
          </w:p>
        </w:tc>
      </w:tr>
      <w:tr>
        <w:trPr>
          <w:cantSplit/>
        </w:trPr>
        <w:tc>
          <w:tcPr>
            <w:tcW w:type="dxa" w:w="6240"/>
          </w:tcPr>
          <w:p>
            <w:pPr>
              <w:spacing w:after="0"/>
            </w:pPr>
            <w:r>
              <w:t xml:space="preserve">Paper and reusable frames</w:t>
            </w:r>
          </w:p>
        </w:tc>
        <w:tc>
          <w:tcPr>
            <w:tcW w:type="dxa" w:w="3120"/>
          </w:tcPr>
          <w:p>
            <w:pPr>
              <w:spacing w:after="0"/>
            </w:pPr>
            <w:r>
              <w:t xml:space="preserve">120.00</w:t>
            </w:r>
          </w:p>
        </w:tc>
      </w:tr>
      <w:tr>
        <w:trPr>
          <w:cantSplit/>
        </w:trPr>
        <w:tc>
          <w:tcPr>
            <w:tcW w:type="dxa" w:w="6240"/>
          </w:tcPr>
          <w:p>
            <w:pPr>
              <w:spacing w:after="0"/>
            </w:pPr>
            <w:r>
              <w:t xml:space="preserve">Lighting supplies</w:t>
            </w:r>
          </w:p>
        </w:tc>
        <w:tc>
          <w:tcPr>
            <w:tcW w:type="dxa" w:w="3120"/>
          </w:tcPr>
          <w:p>
            <w:pPr>
              <w:spacing w:after="0"/>
            </w:pPr>
            <w:r>
              <w:t xml:space="preserve">45.00</w:t>
            </w:r>
          </w:p>
        </w:tc>
      </w:tr>
      <w:tr>
        <w:trPr>
          <w:cantSplit/>
        </w:trPr>
        <w:tc>
          <w:tcPr>
            <w:tcW w:type="dxa" w:w="6240"/>
          </w:tcPr>
          <w:p>
            <w:pPr>
              <w:spacing w:after="0"/>
            </w:pPr>
            <w:r>
              <w:t xml:space="preserve">Returned supplies credit</w:t>
            </w:r>
          </w:p>
        </w:tc>
        <w:tc>
          <w:tcPr>
            <w:tcW w:type="dxa" w:w="3120"/>
          </w:tcPr>
          <w:p>
            <w:pPr>
              <w:spacing w:after="0"/>
            </w:pPr>
            <w:r>
              <w:t xml:space="preserve">-15.00</w:t>
            </w:r>
          </w:p>
        </w:tc>
      </w:tr>
      <w:tr>
        <w:trPr>
          <w:cantSplit/>
        </w:trPr>
        <w:tc>
          <w:tcPr>
            <w:tcW w:type="dxa" w:w="6240"/>
          </w:tcPr>
          <w:p>
            <w:pPr>
              <w:spacing w:after="0"/>
            </w:pPr>
            <w:r>
              <w:t xml:space="preserve">Total after credit</w:t>
            </w:r>
          </w:p>
        </w:tc>
        <w:tc>
          <w:tcPr>
            <w:tcW w:type="dxa" w:w="3120"/>
          </w:tcPr>
          <w:p>
            <w:pPr>
              <w:spacing w:after="0"/>
            </w:pPr>
            <w:r>
              <w:t xml:space="preserve">150.00</w:t>
            </w:r>
          </w:p>
        </w:tc>
      </w:tr>
    </w:tbl>
    <w:p>
      <w:r>
        <w:t xml:space="preserve">Do not turn the credit into a positive charge. Keep the currency, decimal precision and total intact.</w:t>
      </w:r>
    </w:p>
    <w:p>
      <w:pPr>
        <w:keepNext/>
        <w:keepLines/>
      </w:pPr>
      <w:r>
        <w:drawing>
          <wp:inline distT="0" distB="0" distL="0" distR="0">
            <wp:extent cx="3429000" cy="1800225"/>
            <wp:effectExtent t="0" r="0" b="0" l="0"/>
            <wp:docPr id="1" name="Fieldguide cover" descr="GPT 6 Fieldguide resource-site cover used as a synthetic brief illustration." title="Fieldguid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29000" cy="1800225"/>
                    </a:xfrm>
                    <a:prstGeom prst="rect">
                      <a:avLst/>
                    </a:prstGeom>
                  </pic:spPr>
                </pic:pic>
              </a:graphicData>
            </a:graphic>
          </wp:inline>
        </w:drawing>
      </w:r>
    </w:p>
    <w:p>
      <w:r>
        <w:t xml:space="preserve">Figure 1. The independent Fieldguide cover is the original illustration embedded in this synthetic brief.</w:t>
      </w:r>
    </w:p>
    <w:p>
      <w:pPr>
        <w:pStyle w:val="Heading2"/>
      </w:pPr>
      <w:r>
        <w:t xml:space="preserve">Handover and references</w:t>
      </w:r>
    </w:p>
    <w:p>
      <w:r>
        <w:t xml:space="preserve">Count supplies against the signed inventory before collection. Photograph damaged items, resolve discrepancies with the coordinator, and stop the handover if the inventory does not agree. Both people sign only after the quantities match. Store a copy of the signed list.</w:t>
      </w:r>
    </w:p>
    <w:p>
      <w:hyperlink w:history="1" r:id="rIdqdnwgz661gtevru2h0xec">
        <w:r>
          <w:rPr>
            <w:rStyle w:val="Hyperlink"/>
          </w:rPr>
          <w:t xml:space="preserve">Workshop reference (synthetic address)</w:t>
        </w:r>
      </w:hyperlink>
    </w:p>
    <w:p>
      <w:hyperlink w:history="1" r:id="rIdk7gcemv0qaetsnrpawgcf">
        <w:r>
          <w:rPr>
            <w:rStyle w:val="Hyperlink"/>
          </w:rPr>
          <w:t xml:space="preserve">Material handover reference</w:t>
        </w:r>
      </w:hyperlink>
    </w:p>
    <w:p>
      <w:r>
        <w:t xml:space="preserve">Keep both hyperlink destinations intact even if line wrapping changes. Preserve this final sentence and the order of all content.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t xml:space="preserve">Synthetic budget only. The USD 180 ceiling excludes donated materials; it is not a real expenditure.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4"/>
        <w:szCs w:val="24"/>
      </w:rPr>
    </w:rPrDefault>
    <w:pPrDefault>
      <w:pPr>
        <w:widowControl/>
        <w:spacing w:before="0"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keepLines/>
      <w:spacing w:before="240" w:after="120"/>
      <w:outlineLvl w:val="0"/>
    </w:pPr>
    <w:rPr>
      <w:rFonts w:ascii="Arial" w:hAnsi="Arial" w:eastAsia="Arial" w:cs="Arial"/>
      <w:b/>
      <w:color w:val="222222"/>
      <w:sz w:val="36"/>
      <w:szCs w:val="36"/>
    </w:rPr>
  </w:style>
  <w:style w:type="paragraph" w:styleId="Heading2">
    <w:name w:val="Heading 2"/>
    <w:basedOn w:val="Normal"/>
    <w:next w:val="Normal"/>
    <w:qFormat/>
    <w:pPr>
      <w:keepNext/>
      <w:keepLines/>
      <w:spacing w:before="240" w:after="120"/>
      <w:outlineLvl w:val="1"/>
    </w:pPr>
    <w:rPr>
      <w:rFonts w:ascii="Arial" w:hAnsi="Arial" w:eastAsia="Arial" w:cs="Arial"/>
      <w:b/>
      <w:color w:val="222222"/>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nwgz661gtevru2h0xec" Type="http://schemas.openxmlformats.org/officeDocument/2006/relationships/hyperlink" Target="https://example.org/workshop" TargetMode="External"/><Relationship Id="rIdk7gcemv0qaetsnrpawgcf" Type="http://schemas.openxmlformats.org/officeDocument/2006/relationships/hyperlink" Target="https://example.org/notes/paper-lantern-material-handover?version=1&amp;review=complete" TargetMode="External"/><Relationship Id="rId7" Type="http://schemas.openxmlformats.org/officeDocument/2006/relationships/image" Target="media/3e9b4e5a9fb3988a84b5665a660ddb959feb968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Lantern project brief — synthetic fixture</dc:title>
  <dc:creator>GPT 6 Fieldguide</dc:creator>
  <dc:description>Original synthetic material for a document-formatting experiment; no real organization or personal data.</dc:description>
  <cp:lastModifiedBy>Un-named</cp:lastModifiedBy>
  <cp:revision>1</cp:revision>
  <dcterms:created xsi:type="dcterms:W3CDTF">2026-09-07T08:28:40.057Z</dcterms:created>
  <dcterms:modified xsi:type="dcterms:W3CDTF">2026-09-07T08:28:40.058Z</dcterms:modified>
</cp:coreProperties>
</file>

<file path=docProps/custom.xml><?xml version="1.0" encoding="utf-8"?>
<Properties xmlns="http://schemas.openxmlformats.org/officeDocument/2006/custom-properties" xmlns:vt="http://schemas.openxmlformats.org/officeDocument/2006/docPropsVTypes"/>
</file>